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附件1：</w:t>
      </w:r>
    </w:p>
    <w:p>
      <w:pPr>
        <w:widowControl/>
        <w:tabs>
          <w:tab w:val="right" w:leader="hyphen" w:pos="7980"/>
        </w:tabs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会议日程安排</w:t>
      </w:r>
    </w:p>
    <w:p>
      <w:pPr>
        <w:widowControl/>
        <w:tabs>
          <w:tab w:val="right" w:leader="hyphen" w:pos="7980"/>
        </w:tabs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</w:p>
    <w:tbl>
      <w:tblPr>
        <w:tblStyle w:val="3"/>
        <w:tblW w:w="92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295"/>
        <w:gridCol w:w="5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日期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5月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20日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9：00-13：15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报名（邮电疗养院会议中心海滨厅）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13:30-13:40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青岛市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住房和城乡建设局</w:t>
            </w:r>
            <w:r>
              <w:rPr>
                <w:rFonts w:hint="eastAsia" w:ascii="宋体" w:hAnsi="宋体" w:cs="宋体"/>
                <w:sz w:val="28"/>
                <w:szCs w:val="28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13:40-13：50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省协会领导讲话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13:50-17:30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建筑装饰精品工程策划及工程创优培训会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21日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8:30-10:30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建筑装饰精品工程策划及工程创优经验交流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10:30-11:50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装企管理上云应用与实践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12:00</w:t>
            </w:r>
          </w:p>
        </w:tc>
        <w:tc>
          <w:tcPr>
            <w:tcW w:w="5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会议结束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会议地点：青岛市市南区彰化路4号青岛邮电疗养院会议中心海滨厅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994" w:type="dxa"/>
            <w:gridSpan w:val="2"/>
            <w:noWrap w:val="0"/>
            <w:vAlign w:val="top"/>
          </w:tcPr>
          <w:p>
            <w:pPr>
              <w:spacing w:line="192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192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会务组联系人：</w:t>
            </w:r>
          </w:p>
          <w:p>
            <w:pPr>
              <w:spacing w:line="192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山东省建筑业协会：  郑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超  13335157157</w:t>
            </w:r>
          </w:p>
          <w:p>
            <w:pPr>
              <w:spacing w:line="192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青岛市建筑装饰协会：杨琦显  18560689333</w:t>
            </w:r>
          </w:p>
        </w:tc>
      </w:tr>
    </w:tbl>
    <w:p>
      <w:pPr>
        <w:jc w:val="both"/>
        <w:rPr>
          <w:rFonts w:hint="eastAsia" w:ascii="黑体" w:hAnsi="黑体" w:eastAsia="黑体"/>
          <w:sz w:val="30"/>
          <w:szCs w:val="30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单位名称：</w:t>
      </w: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71"/>
        <w:gridCol w:w="1237"/>
        <w:gridCol w:w="381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单位名称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请详细填写参会回执，于5月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日前以电子邮件的方式反馈至邮箱：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"mailto:qdzhuangshixiehui@163.com。"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宋体" w:eastAsia="仿宋_GB2312"/>
          <w:sz w:val="32"/>
          <w:szCs w:val="32"/>
        </w:rPr>
        <w:t>qdzhuangshixiehui@163.com。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黑体" w:hAnsi="黑体" w:eastAsia="黑体"/>
          <w:sz w:val="30"/>
          <w:szCs w:val="30"/>
        </w:rPr>
        <w:drawing>
          <wp:inline distT="0" distB="0" distL="114300" distR="114300">
            <wp:extent cx="6057900" cy="3375025"/>
            <wp:effectExtent l="0" t="0" r="0" b="15875"/>
            <wp:docPr id="1" name="图片 1" descr="C:\Users\Administrator\AppData\Roaming\Tencent\Users\345822656\QQ\WinTemp\RichOle\)`0{X~839FWL3H6]BP2~7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345822656\QQ\WinTemp\RichOle\)`0{X~839FWL3H6]BP2~7PO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361" w:left="1644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A2B14"/>
    <w:rsid w:val="084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iPriority w:val="0"/>
    <w:rPr>
      <w:color w:val="1E1E1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2021-05-07T07:31:00Z</dcterms:created>
  <dc:creator>13869</dc:creator>
  <cp:lastModifiedBy>13869</cp:lastModifiedBy>
  <dcterms:modified xsi:type="dcterms:W3CDTF">2021-05-07T07:34:47Z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